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项目名称：公共卫生科广告宣传品</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项目编号：BSRMYY-YNCG-2024-07003</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10.</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11.密封档案袋格式要求。</w:t>
      </w:r>
    </w:p>
    <w:p>
      <w:pPr>
        <w:ind w:left="0" w:leftChars="0" w:firstLine="420" w:firstLineChars="200"/>
        <w:rPr>
          <w:rFonts w:hint="default"/>
          <w:lang w:val="en-US" w:eastAsia="zh-CN"/>
        </w:rPr>
      </w:pP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lang w:val="en-US" w:eastAsia="zh-CN" w:bidi="ar-SA"/>
        </w:rPr>
        <w:t>1.公司营业执照</w:t>
      </w:r>
      <w:r>
        <w:rPr>
          <w:rFonts w:hint="eastAsia" w:ascii="仿宋_GB2312" w:hAnsi="Arial" w:eastAsia="仿宋_GB2312" w:cstheme="minorBidi"/>
          <w:b/>
          <w:color w:val="auto"/>
          <w:kern w:val="2"/>
          <w:sz w:val="32"/>
          <w:szCs w:val="32"/>
          <w:highlight w:val="none"/>
          <w:lang w:val="en-US" w:eastAsia="zh-CN" w:bidi="ar-SA"/>
        </w:rPr>
        <w:t>（营业执照有广告品销售资质，根据本项目特点要求供应商提供制作儿保、早教、幼儿园等广告用品的合同及现场图片）</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7"/>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2546"/>
        <w:gridCol w:w="2735"/>
        <w:gridCol w:w="5"/>
        <w:gridCol w:w="25"/>
        <w:gridCol w:w="910"/>
        <w:gridCol w:w="1114"/>
        <w:gridCol w:w="1309"/>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9"/>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一、采购人需求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9"/>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2546"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color w:val="auto"/>
                <w:kern w:val="0"/>
                <w:sz w:val="24"/>
                <w:szCs w:val="24"/>
                <w:lang w:val="en-US" w:eastAsia="zh-CN" w:bidi="ar-SA"/>
              </w:rPr>
            </w:pPr>
            <w:r>
              <w:rPr>
                <w:rFonts w:hint="default" w:ascii="Times New Roman" w:hAnsi="Times New Roman" w:eastAsia="仿宋" w:cs="Times New Roman"/>
                <w:b/>
                <w:color w:val="auto"/>
                <w:kern w:val="0"/>
                <w:sz w:val="24"/>
                <w:szCs w:val="24"/>
              </w:rPr>
              <w:t>产品名称</w:t>
            </w:r>
          </w:p>
        </w:tc>
        <w:tc>
          <w:tcPr>
            <w:tcW w:w="2735" w:type="dxa"/>
            <w:vAlign w:val="center"/>
          </w:tcPr>
          <w:p>
            <w:pPr>
              <w:widowControl/>
              <w:spacing w:line="360" w:lineRule="auto"/>
              <w:jc w:val="center"/>
              <w:rPr>
                <w:rFonts w:hint="eastAsia" w:ascii="Times New Roman" w:hAnsi="Times New Roman" w:eastAsia="仿宋" w:cs="Times New Roman"/>
                <w:b/>
                <w:color w:val="auto"/>
                <w:kern w:val="0"/>
                <w:sz w:val="24"/>
                <w:szCs w:val="24"/>
                <w:lang w:val="en-US" w:eastAsia="zh-CN" w:bidi="ar-SA"/>
              </w:rPr>
            </w:pPr>
            <w:r>
              <w:rPr>
                <w:rFonts w:hint="eastAsia" w:ascii="Times New Roman" w:hAnsi="Times New Roman" w:eastAsia="仿宋" w:cs="Times New Roman"/>
                <w:b/>
                <w:color w:val="auto"/>
                <w:kern w:val="0"/>
                <w:sz w:val="24"/>
                <w:szCs w:val="24"/>
                <w:lang w:val="en-US" w:eastAsia="zh-CN"/>
              </w:rPr>
              <w:t>参数要求</w:t>
            </w:r>
            <w:r>
              <w:rPr>
                <w:rFonts w:hint="eastAsia" w:ascii="Times New Roman" w:hAnsi="Times New Roman" w:eastAsia="仿宋" w:cs="Times New Roman"/>
                <w:b/>
                <w:bCs w:val="0"/>
                <w:color w:val="auto"/>
                <w:kern w:val="0"/>
                <w:sz w:val="24"/>
                <w:szCs w:val="24"/>
                <w:lang w:val="en-US" w:eastAsia="zh-CN"/>
              </w:rPr>
              <w:t>（须完全响应）</w:t>
            </w:r>
          </w:p>
        </w:tc>
        <w:tc>
          <w:tcPr>
            <w:tcW w:w="940" w:type="dxa"/>
            <w:gridSpan w:val="3"/>
            <w:vAlign w:val="center"/>
          </w:tcPr>
          <w:p>
            <w:pPr>
              <w:widowControl/>
              <w:spacing w:line="360" w:lineRule="auto"/>
              <w:jc w:val="center"/>
              <w:rPr>
                <w:rFonts w:hint="default" w:ascii="Times New Roman" w:hAnsi="Times New Roman" w:eastAsia="仿宋" w:cs="Times New Roman"/>
                <w:b/>
                <w:color w:val="auto"/>
                <w:kern w:val="0"/>
                <w:sz w:val="24"/>
                <w:szCs w:val="24"/>
                <w:lang w:val="en-US" w:eastAsia="zh-CN"/>
              </w:rPr>
            </w:pPr>
            <w:r>
              <w:rPr>
                <w:rFonts w:hint="eastAsia" w:ascii="Times New Roman" w:hAnsi="Times New Roman" w:eastAsia="仿宋" w:cs="Times New Roman"/>
                <w:b/>
                <w:color w:val="auto"/>
                <w:kern w:val="0"/>
                <w:sz w:val="24"/>
                <w:szCs w:val="24"/>
                <w:lang w:val="en-US" w:eastAsia="zh-CN"/>
              </w:rPr>
              <w:t>单位</w:t>
            </w:r>
          </w:p>
        </w:tc>
        <w:tc>
          <w:tcPr>
            <w:tcW w:w="1114" w:type="dxa"/>
            <w:vAlign w:val="center"/>
          </w:tcPr>
          <w:p>
            <w:pPr>
              <w:widowControl/>
              <w:spacing w:line="360" w:lineRule="auto"/>
              <w:jc w:val="center"/>
              <w:rPr>
                <w:rFonts w:hint="eastAsia" w:ascii="Times New Roman" w:hAnsi="Times New Roman" w:eastAsia="仿宋" w:cs="Times New Roman"/>
                <w:b/>
                <w:color w:val="auto"/>
                <w:kern w:val="0"/>
                <w:sz w:val="24"/>
                <w:szCs w:val="24"/>
                <w:lang w:val="en-US" w:eastAsia="zh-CN" w:bidi="ar-SA"/>
              </w:rPr>
            </w:pPr>
            <w:r>
              <w:rPr>
                <w:rFonts w:hint="eastAsia" w:eastAsia="仿宋" w:cs="Times New Roman"/>
                <w:b/>
                <w:color w:val="auto"/>
                <w:kern w:val="0"/>
                <w:sz w:val="24"/>
                <w:szCs w:val="24"/>
                <w:lang w:eastAsia="zh-CN"/>
              </w:rPr>
              <w:t>数量</w:t>
            </w:r>
          </w:p>
        </w:tc>
        <w:tc>
          <w:tcPr>
            <w:tcW w:w="1309" w:type="dxa"/>
            <w:vAlign w:val="center"/>
          </w:tcPr>
          <w:p>
            <w:pPr>
              <w:widowControl/>
              <w:spacing w:line="360" w:lineRule="auto"/>
              <w:jc w:val="center"/>
              <w:rPr>
                <w:rFonts w:hint="eastAsia" w:ascii="Times New Roman" w:hAnsi="Times New Roman" w:eastAsia="仿宋" w:cs="Times New Roman"/>
                <w:b/>
                <w:color w:val="auto"/>
                <w:kern w:val="0"/>
                <w:sz w:val="24"/>
                <w:szCs w:val="24"/>
                <w:lang w:val="en-US" w:eastAsia="zh-CN" w:bidi="ar-SA"/>
              </w:rPr>
            </w:pPr>
            <w:r>
              <w:rPr>
                <w:rFonts w:hint="eastAsia" w:eastAsia="仿宋" w:cs="Times New Roman"/>
                <w:b/>
                <w:color w:val="auto"/>
                <w:kern w:val="0"/>
                <w:sz w:val="24"/>
                <w:szCs w:val="24"/>
                <w:lang w:val="en-US" w:eastAsia="zh-CN"/>
              </w:rPr>
              <w:t>最高单价（元）</w:t>
            </w:r>
          </w:p>
        </w:tc>
        <w:tc>
          <w:tcPr>
            <w:tcW w:w="1283" w:type="dxa"/>
            <w:vAlign w:val="center"/>
          </w:tcPr>
          <w:p>
            <w:pPr>
              <w:widowControl/>
              <w:spacing w:line="360" w:lineRule="auto"/>
              <w:jc w:val="center"/>
              <w:rPr>
                <w:rFonts w:hint="default" w:eastAsia="仿宋" w:cs="Times New Roman"/>
                <w:b/>
                <w:kern w:val="0"/>
                <w:sz w:val="24"/>
                <w:szCs w:val="24"/>
                <w:lang w:val="en-US" w:eastAsia="zh-CN"/>
              </w:rPr>
            </w:pPr>
            <w:r>
              <w:rPr>
                <w:rFonts w:hint="eastAsia" w:eastAsia="仿宋" w:cs="Times New Roman"/>
                <w:b/>
                <w:kern w:val="0"/>
                <w:sz w:val="24"/>
                <w:szCs w:val="24"/>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561"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w:t>
            </w:r>
          </w:p>
        </w:tc>
        <w:tc>
          <w:tcPr>
            <w:tcW w:w="2546"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（公示栏、疫苗接种流程）3.5cm镀锌板烤漆+亚克力+画面</w:t>
            </w:r>
          </w:p>
        </w:tc>
        <w:tc>
          <w:tcPr>
            <w:tcW w:w="2735" w:type="dxa"/>
            <w:vAlign w:val="center"/>
          </w:tcPr>
          <w:p>
            <w:pPr>
              <w:keepNext w:val="0"/>
              <w:keepLines w:val="0"/>
              <w:widowControl/>
              <w:suppressLineNumbers w:val="0"/>
              <w:jc w:val="center"/>
              <w:textAlignment w:val="center"/>
              <w:rPr>
                <w:rFonts w:hint="default" w:eastAsia="黑体"/>
                <w:color w:val="auto"/>
                <w:lang w:val="en-US" w:eastAsia="zh-CN"/>
              </w:rPr>
            </w:pPr>
            <w:r>
              <w:rPr>
                <w:rFonts w:hint="eastAsia" w:ascii="宋体" w:hAnsi="宋体" w:eastAsia="宋体" w:cs="宋体"/>
                <w:i w:val="0"/>
                <w:iCs w:val="0"/>
                <w:color w:val="auto"/>
                <w:kern w:val="0"/>
                <w:sz w:val="22"/>
                <w:szCs w:val="22"/>
                <w:u w:val="none"/>
                <w:lang w:val="en-US" w:eastAsia="zh-CN" w:bidi="ar"/>
              </w:rPr>
              <w:t>3.6*1.3m</w:t>
            </w:r>
          </w:p>
        </w:tc>
        <w:tc>
          <w:tcPr>
            <w:tcW w:w="940"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1114" w:type="dxa"/>
            <w:vAlign w:val="center"/>
          </w:tcPr>
          <w:p>
            <w:pPr>
              <w:keepNext w:val="0"/>
              <w:keepLines w:val="0"/>
              <w:widowControl/>
              <w:suppressLineNumbers w:val="0"/>
              <w:jc w:val="center"/>
              <w:textAlignment w:val="center"/>
              <w:rPr>
                <w:rFonts w:hint="default" w:ascii="Times New Roman" w:hAnsi="Times New Roman" w:eastAsia="仿宋" w:cs="Times New Roman"/>
                <w:b/>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2</w:t>
            </w:r>
          </w:p>
        </w:tc>
        <w:tc>
          <w:tcPr>
            <w:tcW w:w="1309" w:type="dxa"/>
            <w:vAlign w:val="center"/>
          </w:tcPr>
          <w:p>
            <w:pPr>
              <w:keepNext w:val="0"/>
              <w:keepLines w:val="0"/>
              <w:widowControl/>
              <w:suppressLineNumbers w:val="0"/>
              <w:jc w:val="center"/>
              <w:textAlignment w:val="center"/>
              <w:rPr>
                <w:rFonts w:hint="default" w:ascii="Times New Roman" w:hAnsi="Times New Roman" w:eastAsia="仿宋" w:cs="Times New Roman"/>
                <w:b/>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5400</w:t>
            </w:r>
          </w:p>
        </w:tc>
        <w:tc>
          <w:tcPr>
            <w:tcW w:w="1283" w:type="dxa"/>
            <w:vMerge w:val="restart"/>
            <w:vAlign w:val="center"/>
          </w:tcPr>
          <w:p>
            <w:pPr>
              <w:jc w:val="center"/>
              <w:rPr>
                <w:rFonts w:hint="eastAsia"/>
                <w:sz w:val="32"/>
                <w:szCs w:val="32"/>
                <w:lang w:val="en-US" w:eastAsia="zh-CN"/>
              </w:rPr>
            </w:pPr>
          </w:p>
          <w:p>
            <w:pPr>
              <w:jc w:val="center"/>
              <w:rPr>
                <w:rFonts w:hint="default" w:eastAsiaTheme="minorEastAsia"/>
                <w:sz w:val="32"/>
                <w:szCs w:val="32"/>
                <w:lang w:val="en-US" w:eastAsia="zh-CN"/>
              </w:rPr>
            </w:pPr>
            <w:r>
              <w:rPr>
                <w:rFonts w:hint="eastAsia"/>
                <w:sz w:val="32"/>
                <w:szCs w:val="32"/>
                <w:lang w:val="en-US" w:eastAsia="zh-CN"/>
              </w:rPr>
              <w:t>19414.68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61"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p>
        </w:tc>
        <w:tc>
          <w:tcPr>
            <w:tcW w:w="2546"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2735" w:type="dxa"/>
            <w:vAlign w:val="center"/>
          </w:tcPr>
          <w:p>
            <w:pPr>
              <w:keepNext w:val="0"/>
              <w:keepLines w:val="0"/>
              <w:widowControl/>
              <w:suppressLineNumbers w:val="0"/>
              <w:jc w:val="center"/>
              <w:textAlignment w:val="center"/>
              <w:rPr>
                <w:rFonts w:hint="default" w:eastAsia="黑体"/>
                <w:color w:val="auto"/>
                <w:lang w:val="en-US" w:eastAsia="zh-CN"/>
              </w:rPr>
            </w:pPr>
            <w:r>
              <w:rPr>
                <w:rFonts w:hint="eastAsia" w:ascii="宋体" w:hAnsi="宋体" w:eastAsia="宋体" w:cs="宋体"/>
                <w:i w:val="0"/>
                <w:iCs w:val="0"/>
                <w:color w:val="auto"/>
                <w:kern w:val="0"/>
                <w:sz w:val="22"/>
                <w:szCs w:val="22"/>
                <w:u w:val="none"/>
                <w:lang w:val="en-US" w:eastAsia="zh-CN" w:bidi="ar"/>
              </w:rPr>
              <w:t>0.9*1.2m</w:t>
            </w:r>
          </w:p>
        </w:tc>
        <w:tc>
          <w:tcPr>
            <w:tcW w:w="940"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1114" w:type="dxa"/>
            <w:vAlign w:val="center"/>
          </w:tcPr>
          <w:p>
            <w:pPr>
              <w:keepNext w:val="0"/>
              <w:keepLines w:val="0"/>
              <w:widowControl/>
              <w:suppressLineNumbers w:val="0"/>
              <w:jc w:val="center"/>
              <w:textAlignment w:val="center"/>
              <w:rPr>
                <w:rFonts w:hint="default" w:ascii="Times New Roman" w:hAnsi="Times New Roman" w:eastAsia="仿宋" w:cs="Times New Roman"/>
                <w:b/>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309" w:type="dxa"/>
            <w:vAlign w:val="center"/>
          </w:tcPr>
          <w:p>
            <w:pPr>
              <w:keepNext w:val="0"/>
              <w:keepLines w:val="0"/>
              <w:widowControl/>
              <w:suppressLineNumbers w:val="0"/>
              <w:jc w:val="center"/>
              <w:textAlignment w:val="center"/>
              <w:rPr>
                <w:rFonts w:hint="default" w:ascii="Times New Roman" w:hAnsi="Times New Roman" w:eastAsia="仿宋" w:cs="Times New Roman"/>
                <w:b/>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1200</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咨询台1.5cmPVC</w:t>
            </w:r>
          </w:p>
        </w:tc>
        <w:tc>
          <w:tcPr>
            <w:tcW w:w="273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26cm*3字</w:t>
            </w:r>
          </w:p>
        </w:tc>
        <w:tc>
          <w:tcPr>
            <w:tcW w:w="940"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cm</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78</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61"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3</w:t>
            </w:r>
          </w:p>
        </w:tc>
        <w:tc>
          <w:tcPr>
            <w:tcW w:w="2546"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预防接种玻璃贴</w:t>
            </w:r>
          </w:p>
        </w:tc>
        <w:tc>
          <w:tcPr>
            <w:tcW w:w="2735"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1.1*1.45m</w:t>
            </w:r>
          </w:p>
        </w:tc>
        <w:tc>
          <w:tcPr>
            <w:tcW w:w="940"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127.6</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61"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p>
        </w:tc>
        <w:tc>
          <w:tcPr>
            <w:tcW w:w="2546"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2735"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2.32*1.45m</w:t>
            </w:r>
          </w:p>
        </w:tc>
        <w:tc>
          <w:tcPr>
            <w:tcW w:w="940"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269.12</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561"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4</w:t>
            </w:r>
          </w:p>
        </w:tc>
        <w:tc>
          <w:tcPr>
            <w:tcW w:w="2546"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诊室外玻璃门贴</w:t>
            </w:r>
          </w:p>
        </w:tc>
        <w:tc>
          <w:tcPr>
            <w:tcW w:w="2735"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0.35*0.65m</w:t>
            </w:r>
          </w:p>
        </w:tc>
        <w:tc>
          <w:tcPr>
            <w:tcW w:w="940"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25</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61"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p>
        </w:tc>
        <w:tc>
          <w:tcPr>
            <w:tcW w:w="2546"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2735"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0.9*0.45m</w:t>
            </w:r>
          </w:p>
        </w:tc>
        <w:tc>
          <w:tcPr>
            <w:tcW w:w="940"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40.5</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61"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p>
        </w:tc>
        <w:tc>
          <w:tcPr>
            <w:tcW w:w="2546"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2735"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0.8*0.7m</w:t>
            </w:r>
          </w:p>
        </w:tc>
        <w:tc>
          <w:tcPr>
            <w:tcW w:w="940"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56</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61"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p>
        </w:tc>
        <w:tc>
          <w:tcPr>
            <w:tcW w:w="2546"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2735"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1.2*0.65m</w:t>
            </w:r>
          </w:p>
        </w:tc>
        <w:tc>
          <w:tcPr>
            <w:tcW w:w="940"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78</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61"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p>
        </w:tc>
        <w:tc>
          <w:tcPr>
            <w:tcW w:w="2546"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2735"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0.7*0.6m</w:t>
            </w:r>
          </w:p>
        </w:tc>
        <w:tc>
          <w:tcPr>
            <w:tcW w:w="940"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42</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5</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玻璃窗</w:t>
            </w:r>
          </w:p>
        </w:tc>
        <w:tc>
          <w:tcPr>
            <w:tcW w:w="2740" w:type="dxa"/>
            <w:gridSpan w:val="2"/>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1.5*1.2m</w:t>
            </w:r>
          </w:p>
        </w:tc>
        <w:tc>
          <w:tcPr>
            <w:tcW w:w="935" w:type="dxa"/>
            <w:gridSpan w:val="2"/>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144</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6</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消防栓车贴</w:t>
            </w:r>
          </w:p>
        </w:tc>
        <w:tc>
          <w:tcPr>
            <w:tcW w:w="2740" w:type="dxa"/>
            <w:gridSpan w:val="2"/>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2.05*0.8m</w:t>
            </w:r>
          </w:p>
        </w:tc>
        <w:tc>
          <w:tcPr>
            <w:tcW w:w="935" w:type="dxa"/>
            <w:gridSpan w:val="2"/>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98.4</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61"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7</w:t>
            </w:r>
          </w:p>
        </w:tc>
        <w:tc>
          <w:tcPr>
            <w:tcW w:w="2546"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（对话墙）1.5cmPVC彩印+胶片</w:t>
            </w:r>
          </w:p>
        </w:tc>
        <w:tc>
          <w:tcPr>
            <w:tcW w:w="2740" w:type="dxa"/>
            <w:gridSpan w:val="2"/>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1*2.1m</w:t>
            </w:r>
          </w:p>
        </w:tc>
        <w:tc>
          <w:tcPr>
            <w:tcW w:w="935" w:type="dxa"/>
            <w:gridSpan w:val="2"/>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320</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61"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p>
        </w:tc>
        <w:tc>
          <w:tcPr>
            <w:tcW w:w="2546"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2765" w:type="dxa"/>
            <w:gridSpan w:val="3"/>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2.9*0.3m</w:t>
            </w:r>
          </w:p>
        </w:tc>
        <w:tc>
          <w:tcPr>
            <w:tcW w:w="9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0.87</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320</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8</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穴位图+玩耍要点</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1.5cmPVC彩印+胶片</w:t>
            </w:r>
          </w:p>
        </w:tc>
        <w:tc>
          <w:tcPr>
            <w:tcW w:w="2765" w:type="dxa"/>
            <w:gridSpan w:val="3"/>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1.31*0.85m</w:t>
            </w:r>
          </w:p>
        </w:tc>
        <w:tc>
          <w:tcPr>
            <w:tcW w:w="9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1.1135</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320</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9</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墙壁画面</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1.5cmPVC彩印+胶片</w:t>
            </w:r>
          </w:p>
        </w:tc>
        <w:tc>
          <w:tcPr>
            <w:tcW w:w="2765" w:type="dxa"/>
            <w:gridSpan w:val="3"/>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1*0.8m</w:t>
            </w:r>
          </w:p>
        </w:tc>
        <w:tc>
          <w:tcPr>
            <w:tcW w:w="9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0.8</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320</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10</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长颈鹿身高贴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1.5cmPVC彩印+胶片</w:t>
            </w:r>
          </w:p>
        </w:tc>
        <w:tc>
          <w:tcPr>
            <w:tcW w:w="2765" w:type="dxa"/>
            <w:gridSpan w:val="3"/>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2.4*0.68m</w:t>
            </w:r>
          </w:p>
        </w:tc>
        <w:tc>
          <w:tcPr>
            <w:tcW w:w="9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1.632</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320</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11</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阅读的窗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1.5cmPVC彩印+胶片</w:t>
            </w:r>
          </w:p>
        </w:tc>
        <w:tc>
          <w:tcPr>
            <w:tcW w:w="2765" w:type="dxa"/>
            <w:gridSpan w:val="3"/>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1.5*0.5m</w:t>
            </w:r>
          </w:p>
        </w:tc>
        <w:tc>
          <w:tcPr>
            <w:tcW w:w="9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0.75</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320</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12</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身心健康</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1.5cmPVC彩印+胶片</w:t>
            </w:r>
          </w:p>
        </w:tc>
        <w:tc>
          <w:tcPr>
            <w:tcW w:w="2765" w:type="dxa"/>
            <w:gridSpan w:val="3"/>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2.35*1m</w:t>
            </w:r>
          </w:p>
        </w:tc>
        <w:tc>
          <w:tcPr>
            <w:tcW w:w="9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2.35</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320</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13</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男女宝发展图</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1.5cmPVC彩印+胶片</w:t>
            </w:r>
          </w:p>
        </w:tc>
        <w:tc>
          <w:tcPr>
            <w:tcW w:w="2765" w:type="dxa"/>
            <w:gridSpan w:val="3"/>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0.7*1m*2</w:t>
            </w:r>
          </w:p>
        </w:tc>
        <w:tc>
          <w:tcPr>
            <w:tcW w:w="9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1.4</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320</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14</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看书的小动物</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1.5cmPVC彩印+胶片</w:t>
            </w:r>
          </w:p>
        </w:tc>
        <w:tc>
          <w:tcPr>
            <w:tcW w:w="2765" w:type="dxa"/>
            <w:gridSpan w:val="3"/>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1.5*0.7m</w:t>
            </w:r>
          </w:p>
        </w:tc>
        <w:tc>
          <w:tcPr>
            <w:tcW w:w="9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1.05</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320</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15</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登记区、接种区1.5cmPVC</w:t>
            </w:r>
          </w:p>
        </w:tc>
        <w:tc>
          <w:tcPr>
            <w:tcW w:w="2765" w:type="dxa"/>
            <w:gridSpan w:val="3"/>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18cm*7字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5cm*31字英文</w:t>
            </w:r>
          </w:p>
        </w:tc>
        <w:tc>
          <w:tcPr>
            <w:tcW w:w="9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cm</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281</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61"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16</w:t>
            </w:r>
          </w:p>
        </w:tc>
        <w:tc>
          <w:tcPr>
            <w:tcW w:w="2546"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墙壁画面</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1.5cmPVC彩印+胶片</w:t>
            </w:r>
          </w:p>
        </w:tc>
        <w:tc>
          <w:tcPr>
            <w:tcW w:w="2765" w:type="dxa"/>
            <w:gridSpan w:val="3"/>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2.1*0.6m</w:t>
            </w:r>
          </w:p>
        </w:tc>
        <w:tc>
          <w:tcPr>
            <w:tcW w:w="9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1.26</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320</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61"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p>
        </w:tc>
        <w:tc>
          <w:tcPr>
            <w:tcW w:w="2546"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2765" w:type="dxa"/>
            <w:gridSpan w:val="3"/>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1*0.65m</w:t>
            </w:r>
          </w:p>
        </w:tc>
        <w:tc>
          <w:tcPr>
            <w:tcW w:w="9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0.65</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320</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61"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kern w:val="0"/>
                <w:sz w:val="24"/>
                <w:szCs w:val="24"/>
                <w:lang w:val="en-US" w:eastAsia="zh-CN"/>
              </w:rPr>
            </w:pPr>
          </w:p>
        </w:tc>
        <w:tc>
          <w:tcPr>
            <w:tcW w:w="2546"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2765" w:type="dxa"/>
            <w:gridSpan w:val="3"/>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1.5*0.75m</w:t>
            </w:r>
          </w:p>
        </w:tc>
        <w:tc>
          <w:tcPr>
            <w:tcW w:w="9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1.125</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320</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17</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箱子外包面（车贴）</w:t>
            </w:r>
          </w:p>
        </w:tc>
        <w:tc>
          <w:tcPr>
            <w:tcW w:w="2765" w:type="dxa"/>
            <w:gridSpan w:val="3"/>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1.3*0.6m</w:t>
            </w:r>
          </w:p>
        </w:tc>
        <w:tc>
          <w:tcPr>
            <w:tcW w:w="9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0.78</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60</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18</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地贴（地膜贴）</w:t>
            </w:r>
          </w:p>
        </w:tc>
        <w:tc>
          <w:tcPr>
            <w:tcW w:w="2765" w:type="dxa"/>
            <w:gridSpan w:val="3"/>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1.2*1.2m</w:t>
            </w:r>
          </w:p>
        </w:tc>
        <w:tc>
          <w:tcPr>
            <w:tcW w:w="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19</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温馨提示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亚克力uv</w:t>
            </w:r>
          </w:p>
        </w:tc>
        <w:tc>
          <w:tcPr>
            <w:tcW w:w="2765" w:type="dxa"/>
            <w:gridSpan w:val="3"/>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32*15cm</w:t>
            </w:r>
          </w:p>
        </w:tc>
        <w:tc>
          <w:tcPr>
            <w:tcW w:w="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20</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门牌亚克力</w:t>
            </w:r>
          </w:p>
        </w:tc>
        <w:tc>
          <w:tcPr>
            <w:tcW w:w="2765" w:type="dxa"/>
            <w:gridSpan w:val="3"/>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32*15cm</w:t>
            </w:r>
          </w:p>
        </w:tc>
        <w:tc>
          <w:tcPr>
            <w:tcW w:w="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114"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09"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283" w:type="dxa"/>
            <w:vMerge w:val="continue"/>
            <w:vAlign w:val="center"/>
          </w:tcPr>
          <w:p>
            <w:pPr>
              <w:jc w:val="cente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10488" w:type="dxa"/>
            <w:gridSpan w:val="9"/>
            <w:tcBorders>
              <w:top w:val="single" w:color="auto" w:sz="4" w:space="0"/>
              <w:left w:val="single" w:color="auto" w:sz="4" w:space="0"/>
              <w:bottom w:val="single" w:color="auto" w:sz="4" w:space="0"/>
            </w:tcBorders>
            <w:vAlign w:val="center"/>
          </w:tcPr>
          <w:p>
            <w:pPr>
              <w:jc w:val="center"/>
              <w:rPr>
                <w:rFonts w:hint="default" w:eastAsiaTheme="minorEastAsia"/>
                <w:sz w:val="32"/>
                <w:szCs w:val="32"/>
                <w:lang w:val="en-US" w:eastAsia="zh-CN"/>
              </w:rPr>
            </w:pPr>
            <w:r>
              <w:rPr>
                <w:rFonts w:hint="eastAsia" w:ascii="微软雅黑" w:hAnsi="微软雅黑" w:eastAsia="微软雅黑" w:cs="微软雅黑"/>
                <w:i w:val="0"/>
                <w:iCs w:val="0"/>
                <w:color w:val="000000"/>
                <w:kern w:val="0"/>
                <w:sz w:val="24"/>
                <w:szCs w:val="24"/>
                <w:u w:val="none"/>
                <w:lang w:val="en-US" w:eastAsia="zh-CN" w:bidi="ar"/>
              </w:rPr>
              <w:t>注：上述物品效果图见附件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9"/>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（二）商务要求：（须完全响应）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本项目一次性采购，</w:t>
            </w:r>
            <w:r>
              <w:rPr>
                <w:rFonts w:hint="eastAsia" w:ascii="方正仿宋_GBK" w:hAnsi="方正仿宋_GBK" w:eastAsia="方正仿宋_GBK" w:cs="方正仿宋_GBK"/>
                <w:b/>
                <w:bCs/>
                <w:sz w:val="24"/>
                <w:szCs w:val="24"/>
                <w:lang w:val="en-US" w:eastAsia="zh-CN"/>
              </w:rPr>
              <w:t>供应商在报送总价时一并报送分项单价，如数量有变动</w:t>
            </w:r>
            <w:r>
              <w:rPr>
                <w:rFonts w:hint="eastAsia" w:ascii="方正仿宋_GBK" w:hAnsi="方正仿宋_GBK" w:eastAsia="方正仿宋_GBK" w:cs="方正仿宋_GBK"/>
                <w:sz w:val="24"/>
                <w:szCs w:val="24"/>
                <w:lang w:val="en-US" w:eastAsia="zh-CN"/>
              </w:rPr>
              <w:t>以实际送货量据实结算。</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交付期限：</w:t>
            </w:r>
            <w:r>
              <w:rPr>
                <w:rFonts w:hint="eastAsia" w:ascii="方正仿宋_GBK" w:hAnsi="方正仿宋_GBK" w:eastAsia="方正仿宋_GBK" w:cs="方正仿宋_GBK"/>
                <w:sz w:val="24"/>
                <w:szCs w:val="24"/>
                <w:lang w:val="en-US" w:eastAsia="zh-CN"/>
              </w:rPr>
              <w:t>采购人发出中选通知后5个工作日</w:t>
            </w:r>
            <w:r>
              <w:rPr>
                <w:rFonts w:hint="eastAsia" w:ascii="方正仿宋_GBK" w:hAnsi="方正仿宋_GBK" w:eastAsia="方正仿宋_GBK" w:cs="方正仿宋_GBK"/>
                <w:sz w:val="24"/>
                <w:szCs w:val="24"/>
              </w:rPr>
              <w:t>完成</w:t>
            </w:r>
            <w:r>
              <w:rPr>
                <w:rFonts w:hint="eastAsia" w:ascii="方正仿宋_GBK" w:hAnsi="方正仿宋_GBK" w:eastAsia="方正仿宋_GBK" w:cs="方正仿宋_GBK"/>
                <w:sz w:val="24"/>
                <w:szCs w:val="24"/>
                <w:lang w:val="en-US" w:eastAsia="zh-CN"/>
              </w:rPr>
              <w:t>送货安装调试</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4.报价要求：本次报价为人民币包干价，包含：货款、运输装卸费、安装、辅材费、税费、保险费、人工费、场地清洁费、质保期维护费用、验收检测费等完成本项目所需的一切费用。因成交供应商自身原因造成漏报、少报皆由其自行承担责任，采购人不再补偿。服务期间发生的安全事故责任由供应商自行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lang w:val="en-US" w:eastAsia="zh-CN"/>
              </w:rPr>
              <w:t>验收通过后一次性支付100%</w:t>
            </w:r>
            <w:r>
              <w:rPr>
                <w:rFonts w:hint="eastAsia" w:ascii="方正仿宋_GBK" w:hAnsi="方正仿宋_GBK" w:eastAsia="方正仿宋_GBK" w:cs="方正仿宋_GBK"/>
                <w:sz w:val="24"/>
                <w:szCs w:val="24"/>
              </w:rPr>
              <w:t>，供应商需提供发票、</w:t>
            </w:r>
            <w:r>
              <w:rPr>
                <w:rFonts w:hint="eastAsia" w:ascii="方正仿宋_GBK" w:hAnsi="方正仿宋_GBK" w:eastAsia="方正仿宋_GBK" w:cs="方正仿宋_GBK"/>
                <w:sz w:val="24"/>
                <w:szCs w:val="24"/>
                <w:lang w:val="en-US" w:eastAsia="zh-CN"/>
              </w:rPr>
              <w:t>验收记录</w:t>
            </w:r>
            <w:r>
              <w:rPr>
                <w:rFonts w:hint="eastAsia" w:ascii="方正仿宋_GBK" w:hAnsi="方正仿宋_GBK" w:eastAsia="方正仿宋_GBK" w:cs="方正仿宋_GBK"/>
                <w:sz w:val="24"/>
                <w:szCs w:val="24"/>
              </w:rPr>
              <w:t>，未及时提供的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成交供应商在接到成交通知后20日内与采购人签订合同</w:t>
            </w:r>
            <w:bookmarkEnd w:id="0"/>
            <w:r>
              <w:rPr>
                <w:rFonts w:hint="eastAsia" w:ascii="方正仿宋_GBK" w:hAnsi="方正仿宋_GBK" w:eastAsia="方正仿宋_GBK" w:cs="方正仿宋_GBK"/>
                <w:sz w:val="24"/>
                <w:szCs w:val="24"/>
                <w:lang w:eastAsia="zh-CN"/>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（四）安装调试、培训及验收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w:t>
            </w:r>
            <w:r>
              <w:rPr>
                <w:rFonts w:hint="eastAsia" w:ascii="方正仿宋_GBK" w:hAnsi="方正仿宋_GBK" w:eastAsia="方正仿宋_GBK" w:cs="方正仿宋_GBK"/>
                <w:sz w:val="24"/>
                <w:szCs w:val="24"/>
              </w:rPr>
              <w:t>免费送到采购人指定地点，经采购人当场开箱、共同清点、检查外观</w:t>
            </w:r>
            <w:r>
              <w:rPr>
                <w:rFonts w:hint="eastAsia" w:ascii="方正仿宋_GBK" w:hAnsi="方正仿宋_GBK" w:eastAsia="方正仿宋_GBK" w:cs="方正仿宋_GBK"/>
                <w:sz w:val="24"/>
                <w:szCs w:val="24"/>
                <w:lang w:val="en-US" w:eastAsia="zh-CN"/>
              </w:rPr>
              <w:t>等</w:t>
            </w:r>
            <w:r>
              <w:rPr>
                <w:rFonts w:hint="eastAsia" w:ascii="方正仿宋_GBK" w:hAnsi="方正仿宋_GBK" w:eastAsia="方正仿宋_GBK" w:cs="方正仿宋_GBK"/>
                <w:sz w:val="24"/>
                <w:szCs w:val="24"/>
              </w:rPr>
              <w:t>进行开箱</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双方签字确认</w:t>
            </w:r>
            <w:r>
              <w:rPr>
                <w:rFonts w:hint="eastAsia" w:ascii="方正仿宋_GBK" w:hAnsi="方正仿宋_GBK" w:eastAsia="方正仿宋_GBK" w:cs="方正仿宋_GBK"/>
                <w:sz w:val="24"/>
                <w:szCs w:val="24"/>
                <w:lang w:val="en-US" w:eastAsia="zh-CN"/>
              </w:rPr>
              <w:t>后方能安装调试</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2.供应商应保证货物到达采购人所在地时完好无损，如有缺漏、损坏，由供应商负责调换、补齐或赔偿。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3.成交供应商派遣专业技术人员在采购人指定地点对使用人员进行</w:t>
            </w:r>
            <w:r>
              <w:rPr>
                <w:rFonts w:hint="eastAsia" w:ascii="方正仿宋_GBK" w:hAnsi="方正仿宋_GBK" w:eastAsia="方正仿宋_GBK" w:cs="方正仿宋_GBK"/>
                <w:sz w:val="24"/>
                <w:szCs w:val="24"/>
                <w:lang w:val="en-US" w:eastAsia="zh-CN"/>
              </w:rPr>
              <w:t>陪护保养</w:t>
            </w:r>
            <w:r>
              <w:rPr>
                <w:rFonts w:hint="eastAsia" w:ascii="方正仿宋_GBK" w:hAnsi="方正仿宋_GBK" w:eastAsia="方正仿宋_GBK" w:cs="方正仿宋_GBK"/>
                <w:sz w:val="24"/>
                <w:szCs w:val="24"/>
              </w:rPr>
              <w:t>进行免费专业培训。</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4.1</w:t>
            </w:r>
            <w:r>
              <w:rPr>
                <w:rFonts w:hint="eastAsia" w:ascii="方正仿宋_GBK" w:hAnsi="方正仿宋_GBK" w:eastAsia="方正仿宋_GBK" w:cs="方正仿宋_GBK"/>
                <w:sz w:val="24"/>
                <w:szCs w:val="24"/>
                <w:lang w:val="en-US" w:eastAsia="zh-CN"/>
              </w:rPr>
              <w:t>实际送货产品应与</w:t>
            </w:r>
            <w:r>
              <w:rPr>
                <w:rFonts w:hint="eastAsia" w:ascii="方正仿宋_GBK" w:hAnsi="方正仿宋_GBK" w:eastAsia="方正仿宋_GBK" w:cs="方正仿宋_GBK"/>
                <w:sz w:val="24"/>
                <w:szCs w:val="24"/>
              </w:rPr>
              <w:t>采购合同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投标</w:t>
            </w:r>
            <w:r>
              <w:rPr>
                <w:rFonts w:hint="eastAsia" w:ascii="方正仿宋_GBK" w:hAnsi="方正仿宋_GBK" w:eastAsia="方正仿宋_GBK" w:cs="方正仿宋_GBK"/>
                <w:sz w:val="24"/>
                <w:szCs w:val="24"/>
                <w:lang w:val="en-US" w:eastAsia="zh-CN"/>
              </w:rPr>
              <w:t>响应</w:t>
            </w:r>
            <w:r>
              <w:rPr>
                <w:rFonts w:hint="eastAsia" w:ascii="方正仿宋_GBK" w:hAnsi="方正仿宋_GBK" w:eastAsia="方正仿宋_GBK" w:cs="方正仿宋_GBK"/>
                <w:sz w:val="24"/>
                <w:szCs w:val="24"/>
              </w:rPr>
              <w:t>文件中的</w:t>
            </w:r>
            <w:r>
              <w:rPr>
                <w:rFonts w:hint="eastAsia" w:ascii="方正仿宋_GBK" w:hAnsi="方正仿宋_GBK" w:eastAsia="方正仿宋_GBK" w:cs="方正仿宋_GBK"/>
                <w:sz w:val="24"/>
                <w:szCs w:val="24"/>
                <w:lang w:val="en-US" w:eastAsia="zh-CN"/>
              </w:rPr>
              <w:t>参数</w:t>
            </w:r>
            <w:r>
              <w:rPr>
                <w:rFonts w:hint="eastAsia" w:ascii="方正仿宋_GBK" w:hAnsi="方正仿宋_GBK" w:eastAsia="方正仿宋_GBK" w:cs="方正仿宋_GBK"/>
                <w:sz w:val="24"/>
                <w:szCs w:val="24"/>
              </w:rPr>
              <w:t>要求一致；若不满足相应要求，</w:t>
            </w:r>
            <w:r>
              <w:rPr>
                <w:rFonts w:hint="eastAsia" w:ascii="方正仿宋_GBK" w:hAnsi="方正仿宋_GBK" w:eastAsia="方正仿宋_GBK" w:cs="方正仿宋_GBK"/>
                <w:sz w:val="24"/>
                <w:szCs w:val="24"/>
                <w:lang w:val="en-US" w:eastAsia="zh-CN"/>
              </w:rPr>
              <w:t>采购人视情况可</w:t>
            </w:r>
            <w:r>
              <w:rPr>
                <w:rFonts w:hint="eastAsia" w:ascii="方正仿宋_GBK" w:hAnsi="方正仿宋_GBK" w:eastAsia="方正仿宋_GBK" w:cs="方正仿宋_GBK"/>
                <w:sz w:val="24"/>
                <w:szCs w:val="24"/>
              </w:rPr>
              <w:t>取消其中标资格。</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4.2</w:t>
            </w:r>
            <w:r>
              <w:rPr>
                <w:rFonts w:hint="eastAsia" w:ascii="方正仿宋_GBK" w:hAnsi="方正仿宋_GBK" w:eastAsia="方正仿宋_GBK" w:cs="方正仿宋_GBK"/>
                <w:sz w:val="24"/>
                <w:szCs w:val="24"/>
                <w:lang w:val="en-US" w:eastAsia="zh-CN"/>
              </w:rPr>
              <w:t>产品</w:t>
            </w:r>
            <w:r>
              <w:rPr>
                <w:rFonts w:hint="eastAsia" w:ascii="方正仿宋_GBK" w:hAnsi="方正仿宋_GBK" w:eastAsia="方正仿宋_GBK" w:cs="方正仿宋_GBK"/>
                <w:sz w:val="24"/>
                <w:szCs w:val="24"/>
              </w:rPr>
              <w:t>品种、规格、数量、技术参数以及商品品牌、生产厂家等与投标</w:t>
            </w:r>
            <w:r>
              <w:rPr>
                <w:rFonts w:hint="eastAsia" w:ascii="方正仿宋_GBK" w:hAnsi="方正仿宋_GBK" w:eastAsia="方正仿宋_GBK" w:cs="方正仿宋_GBK"/>
                <w:sz w:val="24"/>
                <w:szCs w:val="24"/>
                <w:lang w:val="en-US" w:eastAsia="zh-CN"/>
              </w:rPr>
              <w:t>响应</w:t>
            </w:r>
            <w:r>
              <w:rPr>
                <w:rFonts w:hint="eastAsia" w:ascii="方正仿宋_GBK" w:hAnsi="方正仿宋_GBK" w:eastAsia="方正仿宋_GBK" w:cs="方正仿宋_GBK"/>
                <w:sz w:val="24"/>
                <w:szCs w:val="24"/>
              </w:rPr>
              <w:t>文件和采购合同一致，性能指标达到规定的标准。</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4.3货物技术资料、装箱单、合格证等资料齐全。</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在规定时间内完成交货，并经采购人确认。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5.采购人需要制造商对成交供应商交付的产品（包括质量、技术参数等）进行确认的，成交供应商须提供制造商加盖公章的书面意见。</w:t>
            </w:r>
          </w:p>
          <w:p>
            <w:pPr>
              <w:pStyle w:val="4"/>
              <w:spacing w:line="500" w:lineRule="exact"/>
              <w:ind w:firstLine="480" w:firstLineChars="200"/>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6. 验收时产生争议，采购人可邀请第三方机构参加验收工作，产生的验收费用由供应商承担。</w:t>
            </w:r>
            <w:r>
              <w:rPr>
                <w:rFonts w:hint="eastAsia" w:ascii="方正仿宋_GBK" w:hAnsi="方正仿宋_GBK" w:eastAsia="方正仿宋_GBK" w:cs="方正仿宋_GBK"/>
                <w:sz w:val="24"/>
                <w:szCs w:val="24"/>
                <w:lang w:val="en-US" w:eastAsia="zh-CN"/>
              </w:rPr>
              <w:t>验收后使用期间发现疑似产品质量问题，供应商应承担鉴定费用。</w:t>
            </w:r>
          </w:p>
          <w:p>
            <w:pPr>
              <w:ind w:firstLine="480" w:firstLineChars="200"/>
              <w:rPr>
                <w:rFonts w:hint="default"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7.广告宣传产品应遵守医院及行政部门规范要求，如消防部门检查提出要求整改的，应免费进行整改，直至符合消防部门规范要求。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1.质量保证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1.1自验收合格之日起，</w:t>
            </w:r>
            <w:r>
              <w:rPr>
                <w:rFonts w:hint="eastAsia" w:ascii="方正仿宋_GBK" w:hAnsi="方正仿宋_GBK" w:eastAsia="方正仿宋_GBK" w:cs="方正仿宋_GBK"/>
                <w:b/>
                <w:bCs/>
                <w:sz w:val="24"/>
                <w:szCs w:val="24"/>
                <w:highlight w:val="none"/>
                <w:u w:val="single"/>
              </w:rPr>
              <w:t>提供所投产品不低于</w:t>
            </w:r>
            <w:r>
              <w:rPr>
                <w:rFonts w:hint="eastAsia" w:ascii="方正仿宋_GBK" w:hAnsi="方正仿宋_GBK" w:eastAsia="方正仿宋_GBK" w:cs="方正仿宋_GBK"/>
                <w:b/>
                <w:bCs/>
                <w:sz w:val="24"/>
                <w:szCs w:val="24"/>
                <w:highlight w:val="none"/>
                <w:u w:val="single"/>
                <w:lang w:val="en-US" w:eastAsia="zh-CN"/>
              </w:rPr>
              <w:t>1</w:t>
            </w:r>
            <w:r>
              <w:rPr>
                <w:rFonts w:hint="eastAsia" w:ascii="方正仿宋_GBK" w:hAnsi="方正仿宋_GBK" w:eastAsia="方正仿宋_GBK" w:cs="方正仿宋_GBK"/>
                <w:b/>
                <w:bCs/>
                <w:sz w:val="24"/>
                <w:szCs w:val="24"/>
                <w:highlight w:val="none"/>
                <w:u w:val="single"/>
              </w:rPr>
              <w:t>年的免费质保</w:t>
            </w:r>
            <w:r>
              <w:rPr>
                <w:rFonts w:hint="eastAsia" w:ascii="方正仿宋_GBK" w:hAnsi="方正仿宋_GBK" w:eastAsia="方正仿宋_GBK" w:cs="方正仿宋_GBK"/>
                <w:b/>
                <w:bCs/>
                <w:sz w:val="24"/>
                <w:szCs w:val="24"/>
                <w:highlight w:val="none"/>
                <w:u w:val="single"/>
                <w:lang w:eastAsia="zh-CN"/>
              </w:rPr>
              <w:t>，</w:t>
            </w:r>
            <w:r>
              <w:rPr>
                <w:rFonts w:hint="eastAsia" w:ascii="方正仿宋_GBK" w:hAnsi="方正仿宋_GBK" w:eastAsia="方正仿宋_GBK" w:cs="方正仿宋_GBK"/>
                <w:b/>
                <w:bCs/>
                <w:sz w:val="24"/>
                <w:szCs w:val="24"/>
                <w:highlight w:val="none"/>
                <w:u w:val="single"/>
                <w:lang w:val="en-US" w:eastAsia="zh-CN"/>
              </w:rPr>
              <w:t>非人为损坏免费更换</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产品质保期内有任何质量问题，采购人有权要求供应商整改和退还，如产品脱漆、破损等。</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1.2采购货物属于国家规定“三包”范围的，其产品质量保证期不得低于“三包”规定。</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1.3供应商的质量保证期承诺优于国家“三包”规定的，按供应商实际承诺执行。</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1.4采购货物由产品制造商负责标准售后服务，应当在响应文件中予以明确说明，并提供相关文件。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2.1质保期内服务要求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2.1.1电话咨询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成交供应商或制造商应当为采购人提供技术援助电话，在30分钟内响应解答采购人在使用中遇到的问题，及时为采购人提出解决问题的建议。</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2.1.2现场响应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采购人遇到使用及技术问题，电话咨询不能解决的，成交供应商或制造商应在</w:t>
            </w:r>
            <w:r>
              <w:rPr>
                <w:rFonts w:hint="eastAsia" w:ascii="方正仿宋_GBK" w:hAnsi="方正仿宋_GBK" w:eastAsia="方正仿宋_GBK" w:cs="方正仿宋_GBK"/>
                <w:sz w:val="24"/>
                <w:szCs w:val="24"/>
                <w:lang w:val="en-US" w:eastAsia="zh-CN"/>
              </w:rPr>
              <w:t>4小时</w:t>
            </w:r>
            <w:r>
              <w:rPr>
                <w:rFonts w:hint="eastAsia" w:ascii="方正仿宋_GBK" w:hAnsi="方正仿宋_GBK" w:eastAsia="方正仿宋_GBK" w:cs="方正仿宋_GBK"/>
                <w:sz w:val="24"/>
                <w:szCs w:val="24"/>
              </w:rPr>
              <w:t>内派专业技术人员到达现场进行</w:t>
            </w:r>
            <w:r>
              <w:rPr>
                <w:rFonts w:hint="eastAsia" w:ascii="方正仿宋_GBK" w:hAnsi="方正仿宋_GBK" w:eastAsia="方正仿宋_GBK" w:cs="方正仿宋_GBK"/>
                <w:sz w:val="24"/>
                <w:szCs w:val="24"/>
                <w:lang w:val="en-US" w:eastAsia="zh-CN"/>
              </w:rPr>
              <w:t>处理。</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2.2质保期满服务要求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质保期满后成交供应商或制造商应同样提供免费电话咨询服务。</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全新正规合格产品，后期发现或鉴定为假冒伪劣产品或残次品，供应商应承担所有费用并按照产品销售金额2倍进行赔偿，因产品质量问题导致的损害由供应商承担全部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9"/>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gridSpan w:val="9"/>
            <w:tcBorders>
              <w:top w:val="single" w:color="000000" w:sz="6" w:space="0"/>
              <w:left w:val="single" w:color="000000" w:sz="6" w:space="0"/>
              <w:bottom w:val="single" w:color="000000" w:sz="6" w:space="0"/>
            </w:tcBorders>
            <w:tcMar>
              <w:top w:w="30" w:type="dxa"/>
              <w:left w:w="45" w:type="dxa"/>
              <w:bottom w:w="30" w:type="dxa"/>
              <w:right w:w="45" w:type="dxa"/>
            </w:tcMar>
            <w:vAlign w:val="center"/>
          </w:tcPr>
          <w:tbl>
            <w:tblPr>
              <w:tblStyle w:val="13"/>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333"/>
              <w:gridCol w:w="1590"/>
              <w:gridCol w:w="1755"/>
              <w:gridCol w:w="198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2333"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590"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技术参数是否完全响应</w:t>
                  </w:r>
                </w:p>
              </w:tc>
              <w:tc>
                <w:tcPr>
                  <w:tcW w:w="175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商务要求是否完全响应</w:t>
                  </w:r>
                </w:p>
              </w:tc>
              <w:tc>
                <w:tcPr>
                  <w:tcW w:w="1980"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产品质量保证期（年）</w:t>
                  </w:r>
                </w:p>
              </w:tc>
              <w:tc>
                <w:tcPr>
                  <w:tcW w:w="1710"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1</w:t>
                  </w:r>
                </w:p>
              </w:tc>
              <w:tc>
                <w:tcPr>
                  <w:tcW w:w="2333"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微软雅黑" w:hAnsi="微软雅黑" w:eastAsia="微软雅黑" w:cs="微软雅黑"/>
                      <w:i w:val="0"/>
                      <w:caps w:val="0"/>
                      <w:color w:val="555555"/>
                      <w:spacing w:val="0"/>
                      <w:sz w:val="21"/>
                      <w:szCs w:val="21"/>
                      <w:lang w:val="en-US" w:eastAsia="zh-CN"/>
                    </w:rPr>
                    <w:t>公共卫生科广告宣传品</w:t>
                  </w:r>
                </w:p>
              </w:tc>
              <w:tc>
                <w:tcPr>
                  <w:tcW w:w="159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75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98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710"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9"/>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w:t>
            </w:r>
            <w:r>
              <w:rPr>
                <w:rFonts w:hint="eastAsia" w:ascii="仿宋" w:hAnsi="仿宋" w:eastAsia="仿宋" w:cs="仿宋"/>
                <w:b/>
                <w:bCs/>
                <w:i w:val="0"/>
                <w:caps w:val="0"/>
                <w:color w:val="555555"/>
                <w:spacing w:val="0"/>
                <w:kern w:val="0"/>
                <w:sz w:val="24"/>
                <w:szCs w:val="24"/>
                <w:u w:val="single"/>
                <w:lang w:val="en-US" w:eastAsia="zh-CN" w:bidi="ar"/>
              </w:rPr>
              <w:t>请单独对每个分项进行报价</w:t>
            </w:r>
            <w:r>
              <w:rPr>
                <w:rFonts w:hint="eastAsia" w:ascii="仿宋" w:hAnsi="仿宋" w:eastAsia="仿宋" w:cs="仿宋"/>
                <w:b/>
                <w:bCs/>
                <w:i w:val="0"/>
                <w:caps w:val="0"/>
                <w:color w:val="555555"/>
                <w:spacing w:val="0"/>
                <w:kern w:val="0"/>
                <w:sz w:val="24"/>
                <w:szCs w:val="24"/>
                <w:lang w:val="en-US" w:eastAsia="zh-CN" w:bidi="ar"/>
              </w:rPr>
              <w:t>，便于后期实施数量增减时据实结算。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56196470"/>
      <w:bookmarkStart w:id="3" w:name="_Toc166549448"/>
      <w:bookmarkStart w:id="4" w:name="_Toc128229745"/>
      <w:bookmarkStart w:id="5" w:name="_Toc156815770"/>
      <w:bookmarkStart w:id="6" w:name="_Toc166139912"/>
      <w:bookmarkStart w:id="7" w:name="_Toc175017342"/>
      <w:bookmarkStart w:id="8" w:name="_Toc156196559"/>
      <w:bookmarkStart w:id="9" w:name="_Toc128229916"/>
      <w:bookmarkStart w:id="10" w:name="_Toc128229302"/>
      <w:bookmarkStart w:id="11" w:name="_Toc156730450"/>
      <w:bookmarkStart w:id="12" w:name="_Toc173677397"/>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56196471"/>
      <w:bookmarkStart w:id="14" w:name="_Toc156196560"/>
      <w:bookmarkStart w:id="15" w:name="_Toc173677398"/>
      <w:bookmarkStart w:id="16" w:name="_Toc156730451"/>
      <w:bookmarkStart w:id="17" w:name="_Toc156815771"/>
      <w:bookmarkStart w:id="18" w:name="_Toc128229746"/>
      <w:bookmarkStart w:id="19" w:name="_Toc175017343"/>
      <w:bookmarkStart w:id="20" w:name="_Toc166549449"/>
      <w:bookmarkStart w:id="21" w:name="_Toc128229303"/>
      <w:bookmarkStart w:id="22" w:name="_Toc166139913"/>
      <w:bookmarkStart w:id="23" w:name="_Toc128229917"/>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156196472"/>
      <w:bookmarkStart w:id="25" w:name="_Toc173677399"/>
      <w:bookmarkStart w:id="26" w:name="_Toc128229304"/>
      <w:bookmarkStart w:id="27" w:name="_Toc128229747"/>
      <w:bookmarkStart w:id="28" w:name="_Toc128014297"/>
      <w:bookmarkStart w:id="29" w:name="_Toc237057793"/>
      <w:bookmarkStart w:id="30" w:name="_Toc175017344"/>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w:t>
      </w:r>
      <w:bookmarkStart w:id="31" w:name="_GoBack"/>
      <w:bookmarkEnd w:id="31"/>
      <w:r>
        <w:rPr>
          <w:rFonts w:hint="eastAsia" w:ascii="仿宋_GB2312" w:eastAsia="仿宋_GB2312" w:cs="宋体"/>
          <w:color w:val="auto"/>
          <w:sz w:val="32"/>
          <w:szCs w:val="32"/>
          <w:lang w:val="en-US" w:eastAsia="zh-CN"/>
        </w:rPr>
        <w:t>.密封档案袋格式要求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00A5C6E"/>
    <w:rsid w:val="015B6D6E"/>
    <w:rsid w:val="056E5276"/>
    <w:rsid w:val="06FB539B"/>
    <w:rsid w:val="0AF54F28"/>
    <w:rsid w:val="0C872834"/>
    <w:rsid w:val="0CE64C8D"/>
    <w:rsid w:val="0FD01451"/>
    <w:rsid w:val="122D0B62"/>
    <w:rsid w:val="129A57C7"/>
    <w:rsid w:val="18B50D96"/>
    <w:rsid w:val="1922346A"/>
    <w:rsid w:val="1AAE2C67"/>
    <w:rsid w:val="1AF86BE0"/>
    <w:rsid w:val="1BDE0896"/>
    <w:rsid w:val="1CF00EFC"/>
    <w:rsid w:val="21426D4A"/>
    <w:rsid w:val="21637272"/>
    <w:rsid w:val="236757CC"/>
    <w:rsid w:val="25756FA4"/>
    <w:rsid w:val="2C3529EE"/>
    <w:rsid w:val="2E734A32"/>
    <w:rsid w:val="2FC44243"/>
    <w:rsid w:val="31092EA8"/>
    <w:rsid w:val="33FB61AD"/>
    <w:rsid w:val="342C6BC9"/>
    <w:rsid w:val="36052340"/>
    <w:rsid w:val="36C67E9E"/>
    <w:rsid w:val="376E6279"/>
    <w:rsid w:val="38A14340"/>
    <w:rsid w:val="3D8263F7"/>
    <w:rsid w:val="44C5770F"/>
    <w:rsid w:val="44EF71C4"/>
    <w:rsid w:val="482D6FF9"/>
    <w:rsid w:val="496140CE"/>
    <w:rsid w:val="4AE139DB"/>
    <w:rsid w:val="4BDB0A24"/>
    <w:rsid w:val="4C31315D"/>
    <w:rsid w:val="4D0B0117"/>
    <w:rsid w:val="4F6D75ED"/>
    <w:rsid w:val="53A17F68"/>
    <w:rsid w:val="53DB6C22"/>
    <w:rsid w:val="5E932E93"/>
    <w:rsid w:val="5FA4498B"/>
    <w:rsid w:val="61130716"/>
    <w:rsid w:val="61143219"/>
    <w:rsid w:val="61707CCC"/>
    <w:rsid w:val="626B6216"/>
    <w:rsid w:val="67CF5844"/>
    <w:rsid w:val="69D01878"/>
    <w:rsid w:val="6A1F4430"/>
    <w:rsid w:val="6DD05A39"/>
    <w:rsid w:val="6EC6360F"/>
    <w:rsid w:val="713118C3"/>
    <w:rsid w:val="71C02C3F"/>
    <w:rsid w:val="72BB5C94"/>
    <w:rsid w:val="732B3BA9"/>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1</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2024-06-04T02:53:00Z</cp:lastPrinted>
  <dcterms:modified xsi:type="dcterms:W3CDTF">2024-07-12T09:53:45Z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